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F1" w:rsidRPr="00265FB2" w:rsidRDefault="00807CF1" w:rsidP="00807CF1">
      <w:pPr>
        <w:rPr>
          <w:rFonts w:ascii="仿宋" w:eastAsia="仿宋" w:hAnsi="仿宋"/>
          <w:sz w:val="32"/>
          <w:szCs w:val="32"/>
        </w:rPr>
      </w:pPr>
      <w:r w:rsidRPr="00265FB2">
        <w:rPr>
          <w:rFonts w:ascii="仿宋" w:eastAsia="仿宋" w:hAnsi="仿宋" w:hint="eastAsia"/>
          <w:sz w:val="32"/>
          <w:szCs w:val="32"/>
        </w:rPr>
        <w:t>附件3：</w:t>
      </w:r>
    </w:p>
    <w:p w:rsidR="00807CF1" w:rsidRDefault="00807CF1" w:rsidP="00807CF1"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关于选派优秀研究生骨干赴江苏通州区</w:t>
      </w:r>
    </w:p>
    <w:p w:rsidR="00807CF1" w:rsidRDefault="00807CF1" w:rsidP="00807CF1"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挂职锻炼项目人员的实施细案</w:t>
      </w:r>
    </w:p>
    <w:p w:rsidR="00807CF1" w:rsidRDefault="00807CF1" w:rsidP="00807CF1"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</w:p>
    <w:p w:rsidR="00807CF1" w:rsidRDefault="00807CF1" w:rsidP="00807CF1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各院团委、团总支：</w:t>
      </w:r>
    </w:p>
    <w:p w:rsidR="00807CF1" w:rsidRPr="005A3E35" w:rsidRDefault="00807CF1" w:rsidP="00807CF1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为进一步推动我校研究生参与社会实践活动，加强与基层的感情，校团委决定今年暑假选派我校优秀研究生骨干赴江</w:t>
      </w:r>
      <w:r w:rsidRPr="005A3E35">
        <w:rPr>
          <w:rFonts w:ascii="仿宋_GB2312" w:eastAsia="仿宋_GB2312" w:cs="仿宋_GB2312" w:hint="eastAsia"/>
          <w:sz w:val="32"/>
          <w:szCs w:val="32"/>
        </w:rPr>
        <w:t>苏通州区开展为期一个月的挂职锻炼实践活动。现将有关事项通知如下：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一、选派对象及基本要求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1.我校全日制硕士生、博士生，文科以研究生二年级为主，理工科以一年级为主；2.政治素质好，思想觉悟高，有较强的服务意识和奉献精神；3.统筹协调好学业与挂职锻炼的时间；4.有一定的组织和协调能力，集体观念、大局意识强，善于沟通，富有团队精神。5.身体素质和心理素质良好，有吃苦耐劳、艰苦奋斗的思想准备。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二、挂职时间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挂职时间不少于1个月。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三、工作流程</w:t>
      </w:r>
    </w:p>
    <w:p w:rsidR="00807CF1" w:rsidRPr="005F52E1" w:rsidRDefault="00807CF1" w:rsidP="00807CF1">
      <w:pPr>
        <w:spacing w:line="560" w:lineRule="exact"/>
        <w:ind w:firstLine="600"/>
        <w:rPr>
          <w:rFonts w:ascii="仿宋_GB2312" w:eastAsia="仿宋_GB2312" w:cs="仿宋_GB2312"/>
          <w:spacing w:val="-6"/>
          <w:sz w:val="32"/>
          <w:szCs w:val="32"/>
        </w:rPr>
      </w:pPr>
      <w:r w:rsidRPr="005F52E1">
        <w:rPr>
          <w:rFonts w:ascii="仿宋_GB2312" w:eastAsia="仿宋_GB2312" w:cs="仿宋_GB2312" w:hint="eastAsia"/>
          <w:spacing w:val="-6"/>
          <w:sz w:val="32"/>
          <w:szCs w:val="32"/>
        </w:rPr>
        <w:t>1.报名时间：6月6日前，认真填写《厦门大学研究生社会实践挂职锻炼报名表》（附件）后，交至院团委、团总支。</w:t>
      </w:r>
    </w:p>
    <w:p w:rsidR="00807CF1" w:rsidRPr="005A3E35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2.学院</w:t>
      </w:r>
      <w:r>
        <w:rPr>
          <w:rFonts w:ascii="仿宋_GB2312" w:eastAsia="仿宋_GB2312" w:cs="仿宋_GB2312" w:hint="eastAsia"/>
          <w:sz w:val="32"/>
          <w:szCs w:val="32"/>
        </w:rPr>
        <w:t>、研究院、教学部</w:t>
      </w:r>
      <w:r w:rsidRPr="005A3E35">
        <w:rPr>
          <w:rFonts w:ascii="仿宋_GB2312" w:eastAsia="仿宋_GB2312" w:cs="仿宋_GB2312" w:hint="eastAsia"/>
          <w:sz w:val="32"/>
          <w:szCs w:val="32"/>
        </w:rPr>
        <w:t>考核推荐：6月6日-6月</w:t>
      </w:r>
      <w:r>
        <w:rPr>
          <w:rFonts w:ascii="仿宋_GB2312" w:eastAsia="仿宋_GB2312" w:cs="仿宋_GB2312" w:hint="eastAsia"/>
          <w:sz w:val="32"/>
          <w:szCs w:val="32"/>
        </w:rPr>
        <w:t>9日</w:t>
      </w:r>
      <w:r w:rsidRPr="005A3E35">
        <w:rPr>
          <w:rFonts w:ascii="仿宋_GB2312" w:eastAsia="仿宋_GB2312" w:cs="仿宋_GB2312" w:hint="eastAsia"/>
          <w:sz w:val="32"/>
          <w:szCs w:val="32"/>
        </w:rPr>
        <w:t>，在6月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 w:rsidRPr="005A3E35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17:30</w:t>
      </w:r>
      <w:r w:rsidRPr="005A3E35">
        <w:rPr>
          <w:rFonts w:ascii="仿宋_GB2312" w:eastAsia="仿宋_GB2312" w:cs="仿宋_GB2312" w:hint="eastAsia"/>
          <w:sz w:val="32"/>
          <w:szCs w:val="32"/>
        </w:rPr>
        <w:t>之前，将推荐人选排序、推荐材料及《厦门大学研究生社会实践挂职锻炼报名表》一起上报校团委。</w:t>
      </w:r>
      <w:r w:rsidRPr="005A3E35">
        <w:rPr>
          <w:rFonts w:ascii="仿宋_GB2312" w:eastAsia="仿宋_GB2312" w:cs="仿宋_GB2312" w:hint="eastAsia"/>
          <w:sz w:val="32"/>
          <w:szCs w:val="32"/>
        </w:rPr>
        <w:lastRenderedPageBreak/>
        <w:t>纸质版送校团委姚东明老师处，2185730；</w:t>
      </w:r>
      <w:hyperlink r:id="rId6" w:history="1">
        <w:r w:rsidRPr="005A3E35">
          <w:rPr>
            <w:rFonts w:ascii="仿宋_GB2312" w:eastAsia="仿宋_GB2312" w:cs="仿宋_GB2312" w:hint="eastAsia"/>
            <w:sz w:val="32"/>
            <w:szCs w:val="32"/>
          </w:rPr>
          <w:t>同时将电子版发送至xmushsj@126.com</w:t>
        </w:r>
      </w:hyperlink>
      <w:r w:rsidRPr="005A3E35">
        <w:rPr>
          <w:rFonts w:ascii="仿宋_GB2312" w:eastAsia="仿宋_GB2312" w:cs="仿宋_GB2312" w:hint="eastAsia"/>
          <w:sz w:val="32"/>
          <w:szCs w:val="32"/>
        </w:rPr>
        <w:t>，邮件命名为“研究生挂职锻炼+学院”。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 w:rsidRPr="005A3E35">
        <w:rPr>
          <w:rFonts w:ascii="仿宋_GB2312" w:eastAsia="仿宋_GB2312" w:cs="仿宋_GB2312" w:hint="eastAsia"/>
          <w:sz w:val="32"/>
          <w:szCs w:val="32"/>
        </w:rPr>
        <w:t>3.校团委给出审核意见并确定录取名单，进行岗位对接。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四、政策支持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1.挂职期满，由校团委和挂职单位对其作出鉴定，评定等级，存入本人档案。</w:t>
      </w:r>
    </w:p>
    <w:p w:rsidR="00807CF1" w:rsidRPr="00265FB2" w:rsidRDefault="00807CF1" w:rsidP="00807CF1">
      <w:pPr>
        <w:spacing w:line="560" w:lineRule="exact"/>
        <w:ind w:firstLine="600"/>
        <w:rPr>
          <w:rFonts w:ascii="仿宋_GB2312" w:eastAsia="仿宋_GB2312" w:cs="仿宋_GB2312"/>
          <w:spacing w:val="-10"/>
          <w:sz w:val="32"/>
          <w:szCs w:val="32"/>
        </w:rPr>
      </w:pPr>
      <w:r w:rsidRPr="00265FB2">
        <w:rPr>
          <w:rFonts w:ascii="仿宋_GB2312" w:eastAsia="仿宋_GB2312" w:cs="仿宋_GB2312" w:hint="eastAsia"/>
          <w:spacing w:val="-10"/>
          <w:sz w:val="32"/>
          <w:szCs w:val="32"/>
        </w:rPr>
        <w:t>2.校团委与挂职地政府共同做好挂职学生的后勤保障工作。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五、工作要求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广泛动员，注重选拔。各学院团委要充分认识、高度重视，认真做好优秀研究生社会实践挂职项目的宣传、发动、组织工作，要把有关精神和规定讲清、讲透，把好推荐关；应及时向所在学院党委汇报工作情况，争取党组织的重视和支持。</w:t>
      </w:r>
    </w:p>
    <w:p w:rsidR="00807CF1" w:rsidRDefault="00807CF1" w:rsidP="00807CF1">
      <w:pPr>
        <w:spacing w:line="560" w:lineRule="exact"/>
        <w:ind w:firstLine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2.加强宣传，营造氛围。此项工作推进中，各学院团委要加强信息的收集、整理和反馈，畅通信息渠道，努力营造良好的舆论氛围，以吸引更多的师生来关心和支持挂职项目。</w:t>
      </w:r>
    </w:p>
    <w:p w:rsidR="00807CF1" w:rsidRDefault="00807CF1" w:rsidP="00807CF1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807CF1" w:rsidRDefault="00807CF1" w:rsidP="00807CF1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附件:</w:t>
      </w:r>
      <w:r w:rsidRPr="00717C2D">
        <w:rPr>
          <w:rFonts w:ascii="仿宋_GB2312" w:eastAsia="仿宋_GB2312" w:cs="仿宋_GB2312" w:hint="eastAsia"/>
          <w:sz w:val="32"/>
          <w:szCs w:val="32"/>
        </w:rPr>
        <w:t>厦门大学研究生社会实践挂职锻炼报名表</w:t>
      </w:r>
      <w:r>
        <w:rPr>
          <w:rFonts w:ascii="仿宋_GB2312" w:eastAsia="仿宋_GB2312" w:cs="仿宋_GB2312" w:hint="eastAsia"/>
          <w:sz w:val="32"/>
          <w:szCs w:val="32"/>
        </w:rPr>
        <w:t>、江</w:t>
      </w:r>
      <w:r w:rsidRPr="005A3E35">
        <w:rPr>
          <w:rFonts w:ascii="仿宋_GB2312" w:eastAsia="仿宋_GB2312" w:cs="仿宋_GB2312" w:hint="eastAsia"/>
          <w:sz w:val="32"/>
          <w:szCs w:val="32"/>
        </w:rPr>
        <w:t>苏通州区</w:t>
      </w:r>
      <w:r>
        <w:rPr>
          <w:rFonts w:ascii="仿宋_GB2312" w:eastAsia="仿宋_GB2312" w:cs="仿宋_GB2312" w:hint="eastAsia"/>
          <w:sz w:val="32"/>
          <w:szCs w:val="32"/>
        </w:rPr>
        <w:t>简介</w:t>
      </w:r>
    </w:p>
    <w:p w:rsidR="00807CF1" w:rsidRPr="00717C2D" w:rsidRDefault="00807CF1" w:rsidP="00807CF1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</w:t>
      </w:r>
    </w:p>
    <w:p w:rsidR="00807CF1" w:rsidRDefault="00807CF1" w:rsidP="00807CF1">
      <w:pPr>
        <w:spacing w:line="560" w:lineRule="exact"/>
        <w:ind w:firstLineChars="1935" w:firstLine="6192"/>
        <w:rPr>
          <w:rFonts w:ascii="仿宋_GB2312" w:eastAsia="仿宋_GB2312" w:cs="仿宋_GB2312"/>
          <w:sz w:val="32"/>
          <w:szCs w:val="32"/>
        </w:rPr>
      </w:pPr>
    </w:p>
    <w:p w:rsidR="00807CF1" w:rsidRDefault="00807CF1" w:rsidP="00807CF1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br w:type="page"/>
      </w: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附件：     </w:t>
      </w:r>
    </w:p>
    <w:p w:rsidR="00807CF1" w:rsidRDefault="00807CF1" w:rsidP="00807CF1">
      <w:pPr>
        <w:jc w:val="center"/>
        <w:rPr>
          <w:rFonts w:ascii="方正小标宋简体" w:eastAsia="方正小标宋简体" w:cs="仿宋_GB2312"/>
          <w:sz w:val="32"/>
          <w:szCs w:val="32"/>
        </w:rPr>
      </w:pPr>
      <w:r>
        <w:rPr>
          <w:rFonts w:ascii="方正小标宋简体" w:eastAsia="方正小标宋简体" w:cs="仿宋_GB2312" w:hint="eastAsia"/>
          <w:sz w:val="32"/>
          <w:szCs w:val="32"/>
        </w:rPr>
        <w:t>厦门大学研究生社会实践挂职锻炼报名表</w:t>
      </w:r>
    </w:p>
    <w:p w:rsidR="00807CF1" w:rsidRDefault="00807CF1" w:rsidP="00807CF1">
      <w:pPr>
        <w:jc w:val="center"/>
        <w:rPr>
          <w:rFonts w:ascii="方正小标宋简体" w:eastAsia="方正小标宋简体"/>
          <w:b/>
          <w:bCs/>
          <w:sz w:val="36"/>
          <w:szCs w:val="21"/>
          <w:lang w:val="eu-ES"/>
        </w:rPr>
      </w:pPr>
    </w:p>
    <w:p w:rsidR="00807CF1" w:rsidRDefault="00807CF1" w:rsidP="00807CF1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4"/>
        </w:rPr>
        <w:t>所在单位：                                填表日期：      年   月   日</w:t>
      </w:r>
    </w:p>
    <w:tbl>
      <w:tblPr>
        <w:tblW w:w="87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317"/>
        <w:gridCol w:w="403"/>
        <w:gridCol w:w="1354"/>
        <w:gridCol w:w="713"/>
        <w:gridCol w:w="276"/>
        <w:gridCol w:w="610"/>
        <w:gridCol w:w="290"/>
        <w:gridCol w:w="424"/>
        <w:gridCol w:w="836"/>
        <w:gridCol w:w="902"/>
        <w:gridCol w:w="539"/>
        <w:gridCol w:w="1498"/>
      </w:tblGrid>
      <w:tr w:rsidR="00807CF1" w:rsidRPr="005B320D" w:rsidTr="0071400B">
        <w:trPr>
          <w:cantSplit/>
          <w:trHeight w:val="615"/>
        </w:trPr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07CF1" w:rsidRDefault="00807CF1" w:rsidP="0071400B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照片</w:t>
            </w:r>
          </w:p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（一寸免冠近照）</w:t>
            </w:r>
          </w:p>
        </w:tc>
      </w:tr>
      <w:tr w:rsidR="00807CF1" w:rsidRPr="005B320D" w:rsidTr="0071400B">
        <w:trPr>
          <w:cantSplit/>
          <w:trHeight w:val="615"/>
        </w:trPr>
        <w:tc>
          <w:tcPr>
            <w:tcW w:w="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cantSplit/>
          <w:trHeight w:val="715"/>
        </w:trPr>
        <w:tc>
          <w:tcPr>
            <w:tcW w:w="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7CF1" w:rsidRDefault="00807CF1" w:rsidP="0071400B">
            <w:pPr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政治</w:t>
            </w: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Default="00807CF1" w:rsidP="0071400B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1"/>
              </w:rPr>
            </w:pPr>
          </w:p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cantSplit/>
          <w:trHeight w:val="569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trHeight w:val="615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电脑水平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trHeight w:val="1799"/>
        </w:trPr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815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CF1" w:rsidRDefault="00807CF1" w:rsidP="0071400B">
            <w:pPr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（从本科阶段开始填写）</w:t>
            </w: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</w:rPr>
            </w:pP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</w:rPr>
            </w:pP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</w:rPr>
            </w:pP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</w:rPr>
            </w:pP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</w:rPr>
            </w:pP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trHeight w:val="928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7CF1" w:rsidRDefault="00807CF1" w:rsidP="0071400B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特</w:t>
            </w:r>
          </w:p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807CF1" w:rsidRPr="005B320D" w:rsidTr="0071400B">
        <w:trPr>
          <w:trHeight w:val="1706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学院单位意见</w:t>
            </w:r>
          </w:p>
        </w:tc>
        <w:tc>
          <w:tcPr>
            <w:tcW w:w="744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7CF1" w:rsidRDefault="00807CF1" w:rsidP="0071400B">
            <w:pPr>
              <w:jc w:val="right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07CF1" w:rsidRPr="005B320D" w:rsidRDefault="00807CF1" w:rsidP="0071400B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 年    月   日</w:t>
            </w:r>
          </w:p>
        </w:tc>
      </w:tr>
      <w:tr w:rsidR="00807CF1" w:rsidRPr="005B320D" w:rsidTr="0071400B">
        <w:trPr>
          <w:trHeight w:val="1359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录用情况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CF1" w:rsidRDefault="00807CF1" w:rsidP="0071400B">
            <w:pPr>
              <w:rPr>
                <w:rFonts w:ascii="仿宋_GB2312" w:eastAsia="仿宋_GB2312" w:hAnsi="Times New Roman"/>
                <w:sz w:val="24"/>
                <w:szCs w:val="21"/>
              </w:rPr>
            </w:pPr>
          </w:p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807CF1" w:rsidRPr="005B320D" w:rsidRDefault="00807CF1" w:rsidP="0071400B">
            <w:pPr>
              <w:jc w:val="center"/>
              <w:rPr>
                <w:rFonts w:ascii="仿宋_GB2312" w:eastAsia="仿宋_GB2312"/>
                <w:sz w:val="24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                      （校团委盖章）                                                 </w:t>
            </w:r>
          </w:p>
          <w:p w:rsidR="00807CF1" w:rsidRPr="005B320D" w:rsidRDefault="00807CF1" w:rsidP="0071400B">
            <w:pPr>
              <w:jc w:val="right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807CF1" w:rsidRPr="005F52E1" w:rsidRDefault="00807CF1" w:rsidP="00807CF1">
      <w:pPr>
        <w:spacing w:line="280" w:lineRule="exact"/>
        <w:ind w:firstLineChars="150" w:firstLine="297"/>
        <w:rPr>
          <w:rFonts w:ascii="仿宋_GB2312" w:eastAsia="仿宋_GB2312" w:hAnsi="Times New Roman"/>
          <w:spacing w:val="-6"/>
          <w:szCs w:val="21"/>
        </w:rPr>
      </w:pPr>
      <w:r w:rsidRPr="005F52E1">
        <w:rPr>
          <w:rFonts w:ascii="仿宋_GB2312" w:eastAsia="仿宋_GB2312" w:hint="eastAsia"/>
          <w:spacing w:val="-6"/>
        </w:rPr>
        <w:t>注：1.“个人简历”中应包括参与校内、外各项社会工作的情况；2.“特长”项必须填写；</w:t>
      </w:r>
    </w:p>
    <w:p w:rsidR="00807CF1" w:rsidRDefault="00807CF1" w:rsidP="00807CF1">
      <w:pPr>
        <w:spacing w:line="280" w:lineRule="exact"/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3.表格一式两份，填写后交所在单位团委、团总支汇总。</w:t>
      </w:r>
    </w:p>
    <w:p w:rsidR="00807CF1" w:rsidRDefault="00807CF1" w:rsidP="00807CF1">
      <w:pPr>
        <w:spacing w:line="280" w:lineRule="exact"/>
        <w:ind w:firstLine="435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共青团厦门大学委员会制</w:t>
      </w:r>
    </w:p>
    <w:p w:rsidR="00807CF1" w:rsidRDefault="00807CF1" w:rsidP="00807CF1">
      <w:pPr>
        <w:spacing w:line="280" w:lineRule="exact"/>
        <w:ind w:firstLine="435"/>
        <w:rPr>
          <w:rFonts w:ascii="仿宋_GB2312" w:eastAsia="仿宋_GB2312"/>
        </w:rPr>
      </w:pP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  <w:t xml:space="preserve">       2013.5</w:t>
      </w:r>
    </w:p>
    <w:p w:rsidR="00807CF1" w:rsidRDefault="00807CF1" w:rsidP="00807CF1"/>
    <w:p w:rsidR="00807CF1" w:rsidRPr="00BD341C" w:rsidRDefault="00807CF1" w:rsidP="00807CF1"/>
    <w:p w:rsidR="00807CF1" w:rsidRDefault="00807CF1" w:rsidP="00807CF1">
      <w:pPr>
        <w:widowControl/>
        <w:ind w:firstLine="150"/>
        <w:jc w:val="center"/>
        <w:outlineLvl w:val="1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r w:rsidRPr="000B5CC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lastRenderedPageBreak/>
        <w:t>江苏省南通市通州区简介</w:t>
      </w:r>
    </w:p>
    <w:p w:rsidR="00807CF1" w:rsidRPr="00D50CD6" w:rsidRDefault="00807CF1" w:rsidP="00807CF1">
      <w:pPr>
        <w:widowControl/>
        <w:ind w:firstLineChars="195" w:firstLine="624"/>
        <w:jc w:val="left"/>
        <w:outlineLvl w:val="1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 w:rsidRPr="00D50CD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江苏省南通市通州区是中国江苏省南通市下辖的一个市辖区。位于江苏省东南部，长江入海口，东临黄海，南依长江，境内机场、铁路、公路、码头一应俱全。全区面积1166平方公里，下辖19个镇，1个省级开发区。至2011年底，全区常住人口总数为113.87万。城区南侧为江苏省重点开发区——南通高新技术产业开发区。</w:t>
      </w:r>
    </w:p>
    <w:p w:rsidR="00807CF1" w:rsidRDefault="00807CF1" w:rsidP="00807CF1">
      <w:pPr>
        <w:widowControl/>
        <w:ind w:firstLineChars="195" w:firstLine="624"/>
        <w:jc w:val="left"/>
        <w:outlineLvl w:val="1"/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</w:pPr>
      <w:r w:rsidRPr="00D50CD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1993年2月，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通州</w:t>
      </w:r>
      <w:r w:rsidRPr="00D50CD6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撤县改设通州市（县级）。建市以来，经济社会事业持续健康发展，全市国内生产总值、工农业总产值和财政收入，均位居苏中各县（市）前列。</w:t>
      </w:r>
    </w:p>
    <w:p w:rsidR="00807CF1" w:rsidRPr="00D50CD6" w:rsidRDefault="00807CF1" w:rsidP="00807CF1">
      <w:pPr>
        <w:widowControl/>
        <w:ind w:firstLineChars="195" w:firstLine="624"/>
        <w:jc w:val="left"/>
        <w:outlineLvl w:val="1"/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自2000年以来,通州区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初步形成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了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锡通科技产业园、南通高新技术产业开发区、通州滨海新区、通州滨江新区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“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一园三区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的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格局， 2011年，恒力纺织新材料产业园、卡特彼勒开工奠基，深南电路、华电热电、宜家家居等一批央企、世界500强企业重大项目相继落户。上市企业总数达到7家，居南通市首位。连续6届荣获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“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全国科技进步先进县（市、区）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”</w:t>
      </w:r>
      <w:r w:rsidRPr="00AE0AB8">
        <w:rPr>
          <w:rFonts w:ascii="仿宋_GB2312" w:eastAsia="仿宋_GB2312" w:hAnsi="微软雅黑" w:cs="宋体"/>
          <w:bCs/>
          <w:color w:val="000000"/>
          <w:kern w:val="0"/>
          <w:sz w:val="32"/>
          <w:szCs w:val="32"/>
        </w:rPr>
        <w:t>称号。</w:t>
      </w:r>
    </w:p>
    <w:p w:rsidR="00B7682D" w:rsidRPr="00807CF1" w:rsidRDefault="00B7682D"/>
    <w:sectPr w:rsidR="00B7682D" w:rsidRPr="00807CF1" w:rsidSect="004B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2D" w:rsidRDefault="00B7682D" w:rsidP="00807CF1">
      <w:r>
        <w:separator/>
      </w:r>
    </w:p>
  </w:endnote>
  <w:endnote w:type="continuationSeparator" w:id="1">
    <w:p w:rsidR="00B7682D" w:rsidRDefault="00B7682D" w:rsidP="0080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2D" w:rsidRDefault="00B7682D" w:rsidP="00807CF1">
      <w:r>
        <w:separator/>
      </w:r>
    </w:p>
  </w:footnote>
  <w:footnote w:type="continuationSeparator" w:id="1">
    <w:p w:rsidR="00B7682D" w:rsidRDefault="00B7682D" w:rsidP="00807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F1"/>
    <w:rsid w:val="00807CF1"/>
    <w:rsid w:val="00B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30005;&#23376;&#29256;&#21457;&#36865;&#33267;xmushs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2013-05-30T11:00:00Z</dcterms:created>
  <dcterms:modified xsi:type="dcterms:W3CDTF">2013-05-30T11:00:00Z</dcterms:modified>
</cp:coreProperties>
</file>