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C2" w:rsidRPr="00BE7CC2" w:rsidRDefault="00BE7CC2" w:rsidP="00BE7CC2">
      <w:pPr>
        <w:spacing w:line="600" w:lineRule="exact"/>
        <w:jc w:val="left"/>
        <w:rPr>
          <w:rFonts w:ascii="仿宋" w:eastAsia="仿宋" w:hAnsi="仿宋"/>
          <w:sz w:val="30"/>
          <w:szCs w:val="30"/>
        </w:rPr>
      </w:pPr>
      <w:r w:rsidRPr="00BE7CC2">
        <w:rPr>
          <w:rFonts w:ascii="仿宋" w:eastAsia="仿宋" w:hAnsi="仿宋" w:hint="eastAsia"/>
          <w:sz w:val="30"/>
          <w:szCs w:val="30"/>
        </w:rPr>
        <w:t>附件1：</w:t>
      </w:r>
    </w:p>
    <w:p w:rsidR="00056DB2" w:rsidRPr="004109EF" w:rsidRDefault="00056DB2" w:rsidP="00A52071">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三明市</w:t>
      </w:r>
      <w:r w:rsidRPr="004109EF">
        <w:rPr>
          <w:rFonts w:ascii="方正小标宋简体" w:eastAsia="方正小标宋简体"/>
          <w:sz w:val="36"/>
          <w:szCs w:val="36"/>
        </w:rPr>
        <w:t>2016</w:t>
      </w:r>
      <w:r w:rsidRPr="004109EF">
        <w:rPr>
          <w:rFonts w:ascii="方正小标宋简体" w:eastAsia="方正小标宋简体" w:hint="eastAsia"/>
          <w:sz w:val="36"/>
          <w:szCs w:val="36"/>
        </w:rPr>
        <w:t>年研究生骨干</w:t>
      </w:r>
      <w:r w:rsidR="001D3CCE">
        <w:rPr>
          <w:rFonts w:ascii="方正小标宋简体" w:eastAsia="方正小标宋简体" w:hint="eastAsia"/>
          <w:sz w:val="36"/>
          <w:szCs w:val="36"/>
        </w:rPr>
        <w:t>短期挂职锻炼岗位需求</w:t>
      </w:r>
      <w:r w:rsidRPr="004109EF">
        <w:rPr>
          <w:rFonts w:ascii="方正小标宋简体" w:eastAsia="方正小标宋简体" w:hint="eastAsia"/>
          <w:sz w:val="36"/>
          <w:szCs w:val="36"/>
        </w:rPr>
        <w:t>表</w:t>
      </w:r>
    </w:p>
    <w:p w:rsidR="00056DB2" w:rsidRDefault="00056DB2" w:rsidP="00A52071">
      <w:pPr>
        <w:spacing w:line="200" w:lineRule="exact"/>
        <w:jc w:val="center"/>
        <w:rPr>
          <w:rFonts w:ascii="黑体" w:eastAsia="黑体" w:hAnsi="黑体" w:cs="黑体"/>
          <w:sz w:val="44"/>
          <w:szCs w:val="44"/>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1775"/>
        <w:gridCol w:w="1761"/>
        <w:gridCol w:w="6298"/>
        <w:gridCol w:w="1983"/>
        <w:gridCol w:w="1263"/>
        <w:gridCol w:w="1075"/>
      </w:tblGrid>
      <w:tr w:rsidR="00056DB2" w:rsidTr="007E3F81">
        <w:trPr>
          <w:trHeight w:val="521"/>
          <w:tblHeader/>
        </w:trPr>
        <w:tc>
          <w:tcPr>
            <w:tcW w:w="181"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序号</w:t>
            </w:r>
          </w:p>
        </w:tc>
        <w:tc>
          <w:tcPr>
            <w:tcW w:w="604"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单</w:t>
            </w:r>
            <w:r>
              <w:rPr>
                <w:rFonts w:ascii="宋体" w:hAnsi="宋体"/>
                <w:b/>
                <w:sz w:val="28"/>
                <w:szCs w:val="28"/>
              </w:rPr>
              <w:t xml:space="preserve">  </w:t>
            </w:r>
            <w:r>
              <w:rPr>
                <w:rFonts w:ascii="宋体" w:hAnsi="宋体" w:hint="eastAsia"/>
                <w:b/>
                <w:sz w:val="28"/>
                <w:szCs w:val="28"/>
              </w:rPr>
              <w:t>位</w:t>
            </w:r>
          </w:p>
        </w:tc>
        <w:tc>
          <w:tcPr>
            <w:tcW w:w="599"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岗位名称</w:t>
            </w:r>
          </w:p>
        </w:tc>
        <w:tc>
          <w:tcPr>
            <w:tcW w:w="2144" w:type="pct"/>
            <w:vAlign w:val="center"/>
          </w:tcPr>
          <w:p w:rsidR="00056DB2" w:rsidRDefault="00056DB2" w:rsidP="00C07B23">
            <w:pPr>
              <w:spacing w:line="360" w:lineRule="exact"/>
              <w:jc w:val="center"/>
              <w:rPr>
                <w:rFonts w:ascii="宋体"/>
                <w:b/>
                <w:sz w:val="28"/>
                <w:szCs w:val="28"/>
              </w:rPr>
            </w:pPr>
            <w:r>
              <w:rPr>
                <w:rFonts w:ascii="宋体" w:hAnsi="宋体" w:hint="eastAsia"/>
                <w:b/>
                <w:sz w:val="28"/>
                <w:szCs w:val="28"/>
              </w:rPr>
              <w:t>主要工作描述</w:t>
            </w:r>
          </w:p>
        </w:tc>
        <w:tc>
          <w:tcPr>
            <w:tcW w:w="675"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需前期</w:t>
            </w:r>
          </w:p>
          <w:p w:rsidR="00056DB2" w:rsidRDefault="00056DB2" w:rsidP="00A52071">
            <w:pPr>
              <w:spacing w:line="360" w:lineRule="exact"/>
              <w:jc w:val="center"/>
              <w:rPr>
                <w:rFonts w:ascii="宋体"/>
                <w:b/>
                <w:sz w:val="28"/>
                <w:szCs w:val="28"/>
              </w:rPr>
            </w:pPr>
            <w:r>
              <w:rPr>
                <w:rFonts w:ascii="宋体" w:hAnsi="宋体" w:hint="eastAsia"/>
                <w:b/>
                <w:sz w:val="28"/>
                <w:szCs w:val="28"/>
              </w:rPr>
              <w:t>准备工作</w:t>
            </w:r>
          </w:p>
        </w:tc>
        <w:tc>
          <w:tcPr>
            <w:tcW w:w="430"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专业</w:t>
            </w:r>
          </w:p>
          <w:p w:rsidR="00056DB2" w:rsidRDefault="00056DB2" w:rsidP="00A52071">
            <w:pPr>
              <w:spacing w:line="360" w:lineRule="exact"/>
              <w:jc w:val="center"/>
              <w:rPr>
                <w:rFonts w:ascii="宋体"/>
                <w:b/>
                <w:sz w:val="28"/>
                <w:szCs w:val="28"/>
              </w:rPr>
            </w:pPr>
            <w:r>
              <w:rPr>
                <w:rFonts w:ascii="宋体" w:hAnsi="宋体" w:hint="eastAsia"/>
                <w:b/>
                <w:sz w:val="28"/>
                <w:szCs w:val="28"/>
              </w:rPr>
              <w:t>方向</w:t>
            </w:r>
          </w:p>
        </w:tc>
        <w:tc>
          <w:tcPr>
            <w:tcW w:w="366" w:type="pct"/>
            <w:vAlign w:val="center"/>
          </w:tcPr>
          <w:p w:rsidR="00056DB2" w:rsidRDefault="00056DB2" w:rsidP="00A52071">
            <w:pPr>
              <w:spacing w:line="360" w:lineRule="exact"/>
              <w:jc w:val="center"/>
              <w:rPr>
                <w:rFonts w:ascii="宋体"/>
                <w:b/>
                <w:sz w:val="28"/>
                <w:szCs w:val="28"/>
              </w:rPr>
            </w:pPr>
            <w:r>
              <w:rPr>
                <w:rFonts w:ascii="宋体" w:hAnsi="宋体" w:hint="eastAsia"/>
                <w:b/>
                <w:sz w:val="28"/>
                <w:szCs w:val="28"/>
              </w:rPr>
              <w:t>指导</w:t>
            </w:r>
          </w:p>
          <w:p w:rsidR="00056DB2" w:rsidRDefault="00056DB2" w:rsidP="00A52071">
            <w:pPr>
              <w:spacing w:line="360" w:lineRule="exact"/>
              <w:jc w:val="center"/>
              <w:rPr>
                <w:rFonts w:ascii="宋体"/>
                <w:b/>
                <w:sz w:val="28"/>
                <w:szCs w:val="28"/>
              </w:rPr>
            </w:pPr>
            <w:r>
              <w:rPr>
                <w:rFonts w:ascii="宋体" w:hAnsi="宋体" w:hint="eastAsia"/>
                <w:b/>
                <w:sz w:val="28"/>
                <w:szCs w:val="28"/>
              </w:rPr>
              <w:t>教师</w:t>
            </w:r>
          </w:p>
        </w:tc>
      </w:tr>
      <w:tr w:rsidR="00056DB2" w:rsidRPr="00D52B95" w:rsidTr="00106C6A">
        <w:trPr>
          <w:trHeight w:val="890"/>
        </w:trPr>
        <w:tc>
          <w:tcPr>
            <w:tcW w:w="181" w:type="pct"/>
            <w:vAlign w:val="center"/>
          </w:tcPr>
          <w:p w:rsidR="00056DB2" w:rsidRPr="006814B5" w:rsidRDefault="00056DB2" w:rsidP="002871B6">
            <w:pPr>
              <w:jc w:val="center"/>
              <w:rPr>
                <w:rFonts w:ascii="宋体" w:hAnsi="宋体"/>
                <w:szCs w:val="21"/>
              </w:rPr>
            </w:pPr>
            <w:r w:rsidRPr="006814B5">
              <w:rPr>
                <w:rFonts w:ascii="宋体" w:hAnsi="宋体"/>
                <w:szCs w:val="21"/>
              </w:rPr>
              <w:t>1</w:t>
            </w:r>
          </w:p>
        </w:tc>
        <w:tc>
          <w:tcPr>
            <w:tcW w:w="604" w:type="pct"/>
            <w:vAlign w:val="center"/>
          </w:tcPr>
          <w:p w:rsidR="00056DB2" w:rsidRPr="006814B5" w:rsidRDefault="00056DB2" w:rsidP="002871B6">
            <w:pPr>
              <w:jc w:val="center"/>
              <w:rPr>
                <w:rFonts w:ascii="宋体"/>
                <w:szCs w:val="21"/>
              </w:rPr>
            </w:pPr>
            <w:r w:rsidRPr="006814B5">
              <w:rPr>
                <w:rFonts w:ascii="宋体" w:hAnsi="宋体" w:hint="eastAsia"/>
                <w:szCs w:val="21"/>
              </w:rPr>
              <w:t>市人社局</w:t>
            </w:r>
          </w:p>
        </w:tc>
        <w:tc>
          <w:tcPr>
            <w:tcW w:w="599" w:type="pct"/>
            <w:vAlign w:val="center"/>
          </w:tcPr>
          <w:p w:rsidR="00056DB2" w:rsidRPr="006814B5" w:rsidRDefault="001D3CCE" w:rsidP="002871B6">
            <w:pPr>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D52B95">
            <w:pPr>
              <w:rPr>
                <w:rFonts w:ascii="宋体"/>
                <w:szCs w:val="21"/>
              </w:rPr>
            </w:pPr>
            <w:r w:rsidRPr="006814B5">
              <w:rPr>
                <w:rFonts w:ascii="宋体" w:hAnsi="宋体" w:hint="eastAsia"/>
                <w:szCs w:val="21"/>
              </w:rPr>
              <w:t>进行就业促进和社会保障政策研究，对基层人社部门进行就业和社会保障政策指导。</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社会保障</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890"/>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2</w:t>
            </w:r>
          </w:p>
        </w:tc>
        <w:tc>
          <w:tcPr>
            <w:tcW w:w="604" w:type="pct"/>
            <w:vAlign w:val="center"/>
          </w:tcPr>
          <w:p w:rsidR="00056DB2" w:rsidRPr="006814B5" w:rsidRDefault="00056DB2" w:rsidP="002871B6">
            <w:pPr>
              <w:jc w:val="center"/>
              <w:rPr>
                <w:rFonts w:ascii="宋体"/>
                <w:szCs w:val="21"/>
              </w:rPr>
            </w:pPr>
            <w:r w:rsidRPr="006814B5">
              <w:rPr>
                <w:rFonts w:ascii="宋体" w:hAnsi="宋体" w:hint="eastAsia"/>
                <w:szCs w:val="21"/>
              </w:rPr>
              <w:t>市国资委</w:t>
            </w:r>
          </w:p>
        </w:tc>
        <w:tc>
          <w:tcPr>
            <w:tcW w:w="599" w:type="pct"/>
            <w:vAlign w:val="center"/>
          </w:tcPr>
          <w:p w:rsidR="00056DB2" w:rsidRPr="006814B5" w:rsidRDefault="001D3CCE" w:rsidP="002871B6">
            <w:pPr>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D52B95">
            <w:pPr>
              <w:rPr>
                <w:rFonts w:ascii="宋体"/>
                <w:szCs w:val="21"/>
              </w:rPr>
            </w:pPr>
            <w:r w:rsidRPr="006814B5">
              <w:rPr>
                <w:rFonts w:ascii="宋体" w:hAnsi="宋体" w:hint="eastAsia"/>
                <w:szCs w:val="21"/>
              </w:rPr>
              <w:t>做好企业改革改制工作；对所监管企业下达年薪考核指标，并进行考核；报送有关文件；监督企业的规划、发展、投资等计划。</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C07B23">
            <w:pPr>
              <w:ind w:rightChars="-50" w:right="-105"/>
              <w:jc w:val="center"/>
              <w:rPr>
                <w:rFonts w:ascii="宋体"/>
                <w:szCs w:val="21"/>
              </w:rPr>
            </w:pPr>
            <w:r w:rsidRPr="006814B5">
              <w:rPr>
                <w:rFonts w:ascii="宋体" w:hAnsi="宋体" w:hint="eastAsia"/>
                <w:szCs w:val="21"/>
              </w:rPr>
              <w:t>管理、经济</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890"/>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3</w:t>
            </w:r>
          </w:p>
        </w:tc>
        <w:tc>
          <w:tcPr>
            <w:tcW w:w="604" w:type="pct"/>
            <w:vAlign w:val="center"/>
          </w:tcPr>
          <w:p w:rsidR="00056DB2" w:rsidRPr="006814B5" w:rsidRDefault="00056DB2" w:rsidP="002871B6">
            <w:pPr>
              <w:spacing w:line="320" w:lineRule="exact"/>
              <w:jc w:val="center"/>
              <w:rPr>
                <w:rFonts w:ascii="宋体"/>
                <w:szCs w:val="21"/>
              </w:rPr>
            </w:pPr>
            <w:r w:rsidRPr="006814B5">
              <w:rPr>
                <w:rFonts w:ascii="宋体" w:hAnsi="宋体" w:hint="eastAsia"/>
                <w:szCs w:val="21"/>
              </w:rPr>
              <w:t>三元区岩前镇人民政府</w:t>
            </w:r>
          </w:p>
        </w:tc>
        <w:tc>
          <w:tcPr>
            <w:tcW w:w="599" w:type="pct"/>
            <w:vAlign w:val="center"/>
          </w:tcPr>
          <w:p w:rsidR="00056DB2" w:rsidRPr="006814B5" w:rsidRDefault="001D3CCE" w:rsidP="002871B6">
            <w:pPr>
              <w:spacing w:line="320" w:lineRule="exact"/>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D52B95">
            <w:pPr>
              <w:spacing w:line="320" w:lineRule="exact"/>
              <w:jc w:val="left"/>
              <w:rPr>
                <w:rFonts w:ascii="宋体"/>
                <w:szCs w:val="21"/>
              </w:rPr>
            </w:pPr>
            <w:r w:rsidRPr="006814B5">
              <w:rPr>
                <w:rFonts w:ascii="宋体" w:hAnsi="宋体" w:hint="eastAsia"/>
                <w:szCs w:val="21"/>
              </w:rPr>
              <w:t>负责协调推进包括美丽乡村、万寿岩国家考古遗址公园、防洪堤四期等在内的省级小城镇综合改革试点镇工程项目的规划设计。</w:t>
            </w:r>
          </w:p>
        </w:tc>
        <w:tc>
          <w:tcPr>
            <w:tcW w:w="675"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了解岩前镇村建规划工作内容。</w:t>
            </w:r>
          </w:p>
        </w:tc>
        <w:tc>
          <w:tcPr>
            <w:tcW w:w="430"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规划设计</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929"/>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4</w:t>
            </w:r>
          </w:p>
        </w:tc>
        <w:tc>
          <w:tcPr>
            <w:tcW w:w="604" w:type="pct"/>
            <w:vAlign w:val="center"/>
          </w:tcPr>
          <w:p w:rsidR="00056DB2" w:rsidRPr="006814B5" w:rsidRDefault="00056DB2" w:rsidP="002871B6">
            <w:pPr>
              <w:jc w:val="center"/>
              <w:rPr>
                <w:rFonts w:ascii="宋体"/>
                <w:szCs w:val="21"/>
              </w:rPr>
            </w:pPr>
            <w:r w:rsidRPr="006814B5">
              <w:rPr>
                <w:rFonts w:ascii="宋体" w:hAnsi="宋体" w:hint="eastAsia"/>
                <w:szCs w:val="21"/>
              </w:rPr>
              <w:t>永安市卫生和计划生育局</w:t>
            </w:r>
          </w:p>
        </w:tc>
        <w:tc>
          <w:tcPr>
            <w:tcW w:w="599" w:type="pct"/>
            <w:vAlign w:val="center"/>
          </w:tcPr>
          <w:p w:rsidR="00056DB2" w:rsidRPr="006814B5" w:rsidRDefault="001D3CCE" w:rsidP="002871B6">
            <w:pPr>
              <w:jc w:val="center"/>
              <w:rPr>
                <w:rFonts w:ascii="宋体"/>
                <w:szCs w:val="21"/>
              </w:rPr>
            </w:pPr>
            <w:r w:rsidRPr="006814B5">
              <w:rPr>
                <w:rFonts w:ascii="宋体" w:hAnsi="宋体" w:hint="eastAsia"/>
                <w:szCs w:val="21"/>
              </w:rPr>
              <w:t>助理</w:t>
            </w:r>
          </w:p>
        </w:tc>
        <w:tc>
          <w:tcPr>
            <w:tcW w:w="2144" w:type="pct"/>
          </w:tcPr>
          <w:p w:rsidR="00056DB2" w:rsidRPr="006814B5" w:rsidRDefault="00056DB2" w:rsidP="00D52B95">
            <w:pPr>
              <w:rPr>
                <w:rFonts w:ascii="宋体"/>
                <w:szCs w:val="21"/>
              </w:rPr>
            </w:pPr>
            <w:r w:rsidRPr="006814B5">
              <w:rPr>
                <w:rFonts w:ascii="宋体" w:hAnsi="宋体" w:hint="eastAsia"/>
                <w:szCs w:val="21"/>
              </w:rPr>
              <w:t>医政、医改工作。具体：配合拟订并组织指导实施医疗机构、医务人员、医疗技术应用、医疗质量和服务等有关政策、规范、标准，指导医院药事、临床重点专科建设、医院感染控制、医疗急救体系建设、临床实验室管理等有关工作；配合组织开展公立医院和基层机构改革相关工作。</w:t>
            </w:r>
          </w:p>
        </w:tc>
        <w:tc>
          <w:tcPr>
            <w:tcW w:w="675" w:type="pct"/>
            <w:vAlign w:val="center"/>
          </w:tcPr>
          <w:p w:rsidR="00056DB2" w:rsidRPr="006814B5" w:rsidRDefault="00056DB2" w:rsidP="00106C6A">
            <w:pPr>
              <w:jc w:val="center"/>
              <w:rPr>
                <w:rFonts w:ascii="宋体"/>
                <w:szCs w:val="21"/>
              </w:rPr>
            </w:pPr>
            <w:r w:rsidRPr="006814B5">
              <w:rPr>
                <w:rFonts w:ascii="宋体" w:hAnsi="宋体" w:hint="eastAsia"/>
                <w:szCs w:val="21"/>
              </w:rPr>
              <w:t>熟悉《医疗机构管理条例》、《执业医师法》等相关法律法规</w:t>
            </w: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医学专业</w:t>
            </w:r>
          </w:p>
        </w:tc>
        <w:tc>
          <w:tcPr>
            <w:tcW w:w="366" w:type="pct"/>
            <w:vAlign w:val="center"/>
          </w:tcPr>
          <w:p w:rsidR="00056DB2" w:rsidRPr="006814B5" w:rsidRDefault="00056DB2" w:rsidP="00106C6A">
            <w:pPr>
              <w:jc w:val="center"/>
              <w:rPr>
                <w:rFonts w:ascii="宋体"/>
                <w:szCs w:val="21"/>
              </w:rPr>
            </w:pPr>
            <w:r w:rsidRPr="006814B5">
              <w:rPr>
                <w:rFonts w:ascii="宋体" w:hAnsi="宋体" w:hint="eastAsia"/>
                <w:szCs w:val="21"/>
              </w:rPr>
              <w:t>张金锻、林国才</w:t>
            </w:r>
          </w:p>
        </w:tc>
      </w:tr>
      <w:tr w:rsidR="00056DB2" w:rsidRPr="00840E6A" w:rsidTr="00106C6A">
        <w:trPr>
          <w:trHeight w:val="926"/>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5</w:t>
            </w:r>
          </w:p>
        </w:tc>
        <w:tc>
          <w:tcPr>
            <w:tcW w:w="604" w:type="pct"/>
            <w:vAlign w:val="center"/>
          </w:tcPr>
          <w:p w:rsidR="00056DB2" w:rsidRPr="006814B5" w:rsidRDefault="00056DB2" w:rsidP="002871B6">
            <w:pPr>
              <w:jc w:val="center"/>
              <w:rPr>
                <w:rFonts w:ascii="宋体"/>
                <w:szCs w:val="21"/>
              </w:rPr>
            </w:pPr>
            <w:r w:rsidRPr="006814B5">
              <w:rPr>
                <w:rFonts w:ascii="宋体" w:hAnsi="宋体" w:hint="eastAsia"/>
                <w:szCs w:val="21"/>
              </w:rPr>
              <w:t>永安市贡川镇人民政府</w:t>
            </w:r>
          </w:p>
        </w:tc>
        <w:tc>
          <w:tcPr>
            <w:tcW w:w="599" w:type="pct"/>
            <w:vAlign w:val="center"/>
          </w:tcPr>
          <w:p w:rsidR="00056DB2" w:rsidRPr="006814B5" w:rsidRDefault="001D3CCE" w:rsidP="002871B6">
            <w:pPr>
              <w:jc w:val="center"/>
              <w:rPr>
                <w:rFonts w:ascii="宋体"/>
                <w:szCs w:val="21"/>
              </w:rPr>
            </w:pPr>
            <w:r w:rsidRPr="006814B5">
              <w:rPr>
                <w:rFonts w:ascii="宋体" w:hAnsi="宋体" w:hint="eastAsia"/>
                <w:szCs w:val="21"/>
              </w:rPr>
              <w:t>助理</w:t>
            </w:r>
          </w:p>
        </w:tc>
        <w:tc>
          <w:tcPr>
            <w:tcW w:w="2144" w:type="pct"/>
          </w:tcPr>
          <w:p w:rsidR="00056DB2" w:rsidRPr="006814B5" w:rsidRDefault="00056DB2" w:rsidP="00D52B95">
            <w:pPr>
              <w:rPr>
                <w:rFonts w:ascii="宋体"/>
                <w:szCs w:val="21"/>
              </w:rPr>
            </w:pPr>
            <w:r w:rsidRPr="006814B5">
              <w:rPr>
                <w:rFonts w:ascii="宋体" w:hAnsi="宋体" w:hint="eastAsia"/>
                <w:szCs w:val="21"/>
              </w:rPr>
              <w:t>深入贯彻“互联网</w:t>
            </w:r>
            <w:r w:rsidRPr="006814B5">
              <w:rPr>
                <w:rFonts w:ascii="宋体" w:hAnsi="宋体"/>
                <w:szCs w:val="21"/>
              </w:rPr>
              <w:t>+</w:t>
            </w:r>
            <w:r w:rsidRPr="006814B5">
              <w:rPr>
                <w:rFonts w:ascii="宋体" w:hAnsi="宋体" w:hint="eastAsia"/>
                <w:szCs w:val="21"/>
              </w:rPr>
              <w:t>”重大国家战略和省委省政府、市委市政府有关文件精神，进一步推动贡川镇农村电子商务健康快速发展，优化农村电子商务发展环境，加快信息化在经济社会中的应用，全力打造贡川产业升级版，为扩大就业创业渠道，增强贡川镇农特产品的市场竞争力，引导企业降低成本、优化资源、提升综合竞争实力，培养一批适应新形势和“互联网</w:t>
            </w:r>
            <w:r w:rsidRPr="006814B5">
              <w:rPr>
                <w:rFonts w:ascii="宋体" w:hAnsi="宋体"/>
                <w:szCs w:val="21"/>
              </w:rPr>
              <w:t>+</w:t>
            </w:r>
            <w:r w:rsidRPr="006814B5">
              <w:rPr>
                <w:rFonts w:ascii="宋体" w:hAnsi="宋体" w:hint="eastAsia"/>
                <w:szCs w:val="21"/>
              </w:rPr>
              <w:t>”时代的“新型农民”，加快电商发展步伐，为争取福建省农村电子商务示范点工作打好基础。</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电子商务或物流管理</w:t>
            </w:r>
          </w:p>
        </w:tc>
        <w:tc>
          <w:tcPr>
            <w:tcW w:w="366" w:type="pct"/>
            <w:vAlign w:val="center"/>
          </w:tcPr>
          <w:p w:rsidR="00056DB2" w:rsidRPr="006814B5" w:rsidRDefault="00056DB2" w:rsidP="00106C6A">
            <w:pPr>
              <w:jc w:val="center"/>
              <w:rPr>
                <w:rFonts w:ascii="宋体"/>
                <w:szCs w:val="21"/>
              </w:rPr>
            </w:pPr>
          </w:p>
        </w:tc>
      </w:tr>
      <w:tr w:rsidR="00056DB2" w:rsidRPr="00ED02D6" w:rsidTr="00106C6A">
        <w:trPr>
          <w:trHeight w:val="699"/>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lastRenderedPageBreak/>
              <w:t>6</w:t>
            </w:r>
          </w:p>
        </w:tc>
        <w:tc>
          <w:tcPr>
            <w:tcW w:w="604" w:type="pct"/>
            <w:vAlign w:val="center"/>
          </w:tcPr>
          <w:p w:rsidR="00056DB2" w:rsidRPr="006814B5" w:rsidRDefault="00056DB2" w:rsidP="00106C6A">
            <w:pPr>
              <w:jc w:val="center"/>
              <w:rPr>
                <w:rFonts w:ascii="宋体"/>
                <w:szCs w:val="21"/>
              </w:rPr>
            </w:pPr>
            <w:r w:rsidRPr="006814B5">
              <w:rPr>
                <w:rFonts w:ascii="宋体" w:hAnsi="宋体" w:hint="eastAsia"/>
                <w:szCs w:val="21"/>
              </w:rPr>
              <w:t>清流县审计局</w:t>
            </w:r>
          </w:p>
        </w:tc>
        <w:tc>
          <w:tcPr>
            <w:tcW w:w="599" w:type="pct"/>
            <w:vAlign w:val="center"/>
          </w:tcPr>
          <w:p w:rsidR="00056DB2" w:rsidRPr="006814B5" w:rsidRDefault="001D3CCE" w:rsidP="00106C6A">
            <w:pPr>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84741E">
            <w:pPr>
              <w:rPr>
                <w:rFonts w:ascii="宋体"/>
                <w:szCs w:val="21"/>
              </w:rPr>
            </w:pPr>
            <w:r w:rsidRPr="006814B5">
              <w:rPr>
                <w:rFonts w:ascii="宋体" w:hAnsi="宋体" w:hint="eastAsia"/>
                <w:szCs w:val="21"/>
              </w:rPr>
              <w:t>建设工程项目竣工结算、造价审计。</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土木工程</w:t>
            </w:r>
          </w:p>
          <w:p w:rsidR="00056DB2" w:rsidRPr="006814B5" w:rsidRDefault="00056DB2" w:rsidP="00106C6A">
            <w:pPr>
              <w:jc w:val="center"/>
              <w:rPr>
                <w:rFonts w:ascii="宋体"/>
                <w:szCs w:val="21"/>
              </w:rPr>
            </w:pPr>
            <w:r w:rsidRPr="006814B5">
              <w:rPr>
                <w:rFonts w:ascii="宋体" w:hAnsi="宋体" w:hint="eastAsia"/>
                <w:szCs w:val="21"/>
              </w:rPr>
              <w:t>工程造价</w:t>
            </w:r>
          </w:p>
        </w:tc>
        <w:tc>
          <w:tcPr>
            <w:tcW w:w="366" w:type="pct"/>
            <w:vAlign w:val="center"/>
          </w:tcPr>
          <w:p w:rsidR="00056DB2" w:rsidRPr="006814B5" w:rsidRDefault="00056DB2" w:rsidP="00106C6A">
            <w:pPr>
              <w:jc w:val="center"/>
              <w:rPr>
                <w:rFonts w:ascii="宋体"/>
                <w:szCs w:val="21"/>
              </w:rPr>
            </w:pPr>
          </w:p>
        </w:tc>
      </w:tr>
      <w:tr w:rsidR="00056DB2" w:rsidRPr="00ED02D6" w:rsidTr="00106C6A">
        <w:trPr>
          <w:trHeight w:val="698"/>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7</w:t>
            </w:r>
          </w:p>
        </w:tc>
        <w:tc>
          <w:tcPr>
            <w:tcW w:w="604" w:type="pct"/>
            <w:vAlign w:val="center"/>
          </w:tcPr>
          <w:p w:rsidR="00056DB2" w:rsidRPr="006814B5" w:rsidRDefault="00056DB2" w:rsidP="00106C6A">
            <w:pPr>
              <w:jc w:val="center"/>
              <w:rPr>
                <w:rFonts w:ascii="宋体"/>
                <w:szCs w:val="21"/>
              </w:rPr>
            </w:pPr>
            <w:r w:rsidRPr="006814B5">
              <w:rPr>
                <w:rFonts w:ascii="宋体" w:hAnsi="宋体" w:hint="eastAsia"/>
                <w:szCs w:val="21"/>
              </w:rPr>
              <w:t>清流县</w:t>
            </w:r>
          </w:p>
          <w:p w:rsidR="00056DB2" w:rsidRPr="006814B5" w:rsidRDefault="00056DB2" w:rsidP="00106C6A">
            <w:pPr>
              <w:jc w:val="center"/>
              <w:rPr>
                <w:rFonts w:ascii="宋体"/>
                <w:szCs w:val="21"/>
              </w:rPr>
            </w:pPr>
            <w:r w:rsidRPr="006814B5">
              <w:rPr>
                <w:rFonts w:ascii="宋体" w:hAnsi="宋体" w:hint="eastAsia"/>
                <w:szCs w:val="21"/>
              </w:rPr>
              <w:t>嵩溪政府</w:t>
            </w:r>
          </w:p>
        </w:tc>
        <w:tc>
          <w:tcPr>
            <w:tcW w:w="599" w:type="pct"/>
            <w:vAlign w:val="center"/>
          </w:tcPr>
          <w:p w:rsidR="00056DB2" w:rsidRPr="006814B5" w:rsidRDefault="001D3CCE" w:rsidP="00106C6A">
            <w:pPr>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84741E">
            <w:pPr>
              <w:rPr>
                <w:rFonts w:ascii="宋体"/>
                <w:szCs w:val="21"/>
              </w:rPr>
            </w:pPr>
            <w:r w:rsidRPr="006814B5">
              <w:rPr>
                <w:rFonts w:ascii="宋体" w:hAnsi="宋体" w:hint="eastAsia"/>
                <w:szCs w:val="21"/>
              </w:rPr>
              <w:t>在农业尤其是花卉产业发展及种植方面有丰富经验和知识的人才。</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农业</w:t>
            </w:r>
          </w:p>
        </w:tc>
        <w:tc>
          <w:tcPr>
            <w:tcW w:w="366" w:type="pct"/>
            <w:vAlign w:val="center"/>
          </w:tcPr>
          <w:p w:rsidR="00056DB2" w:rsidRPr="006814B5" w:rsidRDefault="00056DB2" w:rsidP="00106C6A">
            <w:pPr>
              <w:jc w:val="center"/>
              <w:rPr>
                <w:rFonts w:ascii="宋体"/>
                <w:szCs w:val="21"/>
              </w:rPr>
            </w:pPr>
          </w:p>
        </w:tc>
      </w:tr>
      <w:tr w:rsidR="00056DB2" w:rsidRPr="00ED02D6" w:rsidTr="00106C6A">
        <w:trPr>
          <w:trHeight w:val="980"/>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8</w:t>
            </w:r>
          </w:p>
        </w:tc>
        <w:tc>
          <w:tcPr>
            <w:tcW w:w="604" w:type="pct"/>
            <w:vAlign w:val="center"/>
          </w:tcPr>
          <w:p w:rsidR="00056DB2" w:rsidRPr="006814B5" w:rsidRDefault="00056DB2" w:rsidP="00106C6A">
            <w:pPr>
              <w:jc w:val="center"/>
              <w:rPr>
                <w:rFonts w:ascii="宋体"/>
                <w:szCs w:val="21"/>
              </w:rPr>
            </w:pPr>
            <w:r w:rsidRPr="006814B5">
              <w:rPr>
                <w:rFonts w:ascii="宋体" w:hAnsi="宋体" w:hint="eastAsia"/>
                <w:szCs w:val="21"/>
              </w:rPr>
              <w:t>清流县文体</w:t>
            </w:r>
          </w:p>
          <w:p w:rsidR="00056DB2" w:rsidRPr="006814B5" w:rsidRDefault="00056DB2" w:rsidP="00106C6A">
            <w:pPr>
              <w:jc w:val="center"/>
              <w:rPr>
                <w:rFonts w:ascii="宋体"/>
                <w:szCs w:val="21"/>
              </w:rPr>
            </w:pPr>
            <w:r w:rsidRPr="006814B5">
              <w:rPr>
                <w:rFonts w:ascii="宋体" w:hAnsi="宋体" w:hint="eastAsia"/>
                <w:szCs w:val="21"/>
              </w:rPr>
              <w:t>广电出版局</w:t>
            </w:r>
          </w:p>
        </w:tc>
        <w:tc>
          <w:tcPr>
            <w:tcW w:w="599" w:type="pct"/>
            <w:vAlign w:val="center"/>
          </w:tcPr>
          <w:p w:rsidR="00056DB2" w:rsidRPr="006814B5" w:rsidRDefault="001D3CCE" w:rsidP="00106C6A">
            <w:pPr>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BA2410">
            <w:pPr>
              <w:rPr>
                <w:rFonts w:ascii="宋体"/>
                <w:szCs w:val="21"/>
              </w:rPr>
            </w:pPr>
            <w:r w:rsidRPr="006814B5">
              <w:rPr>
                <w:rFonts w:ascii="宋体" w:hAnsi="宋体" w:hint="eastAsia"/>
                <w:szCs w:val="21"/>
              </w:rPr>
              <w:t>王连三大提琴艺术团成立于</w:t>
            </w:r>
            <w:r w:rsidRPr="006814B5">
              <w:rPr>
                <w:rFonts w:ascii="宋体" w:hAnsi="宋体"/>
                <w:szCs w:val="21"/>
              </w:rPr>
              <w:t>2010</w:t>
            </w:r>
            <w:r w:rsidRPr="006814B5">
              <w:rPr>
                <w:rFonts w:ascii="宋体" w:hAnsi="宋体" w:hint="eastAsia"/>
                <w:szCs w:val="21"/>
              </w:rPr>
              <w:t>年</w:t>
            </w:r>
            <w:r w:rsidRPr="006814B5">
              <w:rPr>
                <w:rFonts w:ascii="宋体" w:hAnsi="宋体"/>
                <w:szCs w:val="21"/>
              </w:rPr>
              <w:t>7</w:t>
            </w:r>
            <w:r w:rsidRPr="006814B5">
              <w:rPr>
                <w:rFonts w:ascii="宋体" w:hAnsi="宋体" w:hint="eastAsia"/>
                <w:szCs w:val="21"/>
              </w:rPr>
              <w:t>月，目前为止共培养学员约</w:t>
            </w:r>
            <w:r w:rsidRPr="006814B5">
              <w:rPr>
                <w:rFonts w:ascii="宋体" w:hAnsi="宋体"/>
                <w:szCs w:val="21"/>
              </w:rPr>
              <w:t>280</w:t>
            </w:r>
            <w:r w:rsidRPr="006814B5">
              <w:rPr>
                <w:rFonts w:ascii="宋体" w:hAnsi="宋体" w:hint="eastAsia"/>
                <w:szCs w:val="21"/>
              </w:rPr>
              <w:t>人，现有学员约</w:t>
            </w:r>
            <w:r w:rsidRPr="006814B5">
              <w:rPr>
                <w:rFonts w:ascii="宋体" w:hAnsi="宋体"/>
                <w:szCs w:val="21"/>
              </w:rPr>
              <w:t>70</w:t>
            </w:r>
            <w:r w:rsidRPr="006814B5">
              <w:rPr>
                <w:rFonts w:ascii="宋体" w:hAnsi="宋体" w:hint="eastAsia"/>
                <w:szCs w:val="21"/>
              </w:rPr>
              <w:t>人，多次邀请福建师大教授亲临指导授课。大提琴艺术团成立后，经常参加县举办的节庆文艺晚会演出，</w:t>
            </w:r>
            <w:r w:rsidRPr="006814B5">
              <w:rPr>
                <w:rFonts w:ascii="宋体" w:hAnsi="宋体"/>
                <w:szCs w:val="21"/>
              </w:rPr>
              <w:t>2011</w:t>
            </w:r>
            <w:r w:rsidRPr="006814B5">
              <w:rPr>
                <w:rFonts w:ascii="宋体" w:hAnsi="宋体" w:hint="eastAsia"/>
                <w:szCs w:val="21"/>
              </w:rPr>
              <w:t>年元宵节在我县举办的（王连三）诞辰</w:t>
            </w:r>
            <w:r w:rsidRPr="006814B5">
              <w:rPr>
                <w:rFonts w:ascii="宋体" w:hAnsi="宋体"/>
                <w:szCs w:val="21"/>
              </w:rPr>
              <w:t>75</w:t>
            </w:r>
            <w:r w:rsidRPr="006814B5">
              <w:rPr>
                <w:rFonts w:ascii="宋体" w:hAnsi="宋体" w:hint="eastAsia"/>
                <w:szCs w:val="21"/>
              </w:rPr>
              <w:t>周年文艺晚会上担任主角；同年还代表县政协参加市政协文艺晚会演出；</w:t>
            </w:r>
            <w:r w:rsidRPr="006814B5">
              <w:rPr>
                <w:rFonts w:ascii="宋体" w:hAnsi="宋体"/>
                <w:szCs w:val="21"/>
              </w:rPr>
              <w:t>2012</w:t>
            </w:r>
            <w:r w:rsidRPr="006814B5">
              <w:rPr>
                <w:rFonts w:ascii="宋体" w:hAnsi="宋体" w:hint="eastAsia"/>
                <w:szCs w:val="21"/>
              </w:rPr>
              <w:t>年，代表三明市参加省直机关喜迎十八大文艺晚会；</w:t>
            </w:r>
            <w:r w:rsidRPr="006814B5">
              <w:rPr>
                <w:rFonts w:ascii="宋体" w:hAnsi="宋体"/>
                <w:szCs w:val="21"/>
              </w:rPr>
              <w:t>2012</w:t>
            </w:r>
            <w:r w:rsidRPr="006814B5">
              <w:rPr>
                <w:rFonts w:ascii="宋体" w:hAnsi="宋体" w:hint="eastAsia"/>
                <w:szCs w:val="21"/>
              </w:rPr>
              <w:t>年在我县举办的第五届“爱琴杯”全国大提琴比赛演出中，获得优秀演奏奖。</w:t>
            </w:r>
          </w:p>
          <w:p w:rsidR="00056DB2" w:rsidRPr="006814B5" w:rsidRDefault="00056DB2" w:rsidP="00BA2410">
            <w:pPr>
              <w:rPr>
                <w:rFonts w:ascii="宋体"/>
                <w:szCs w:val="21"/>
              </w:rPr>
            </w:pPr>
            <w:r w:rsidRPr="006814B5">
              <w:rPr>
                <w:rFonts w:ascii="宋体" w:hAnsi="宋体" w:hint="eastAsia"/>
                <w:szCs w:val="21"/>
              </w:rPr>
              <w:t>现因我县大提琴师资力量有限，学员整体演奏水平有待进一步提升，希望能得到大提琴的教学指导，进一步提升我县大提琴艺术团的演奏水平，努力打造“中国大提琴之乡”。</w:t>
            </w:r>
          </w:p>
        </w:tc>
        <w:tc>
          <w:tcPr>
            <w:tcW w:w="675" w:type="pct"/>
            <w:vAlign w:val="center"/>
          </w:tcPr>
          <w:p w:rsidR="00056DB2" w:rsidRPr="006814B5" w:rsidRDefault="00056DB2" w:rsidP="00106C6A">
            <w:pPr>
              <w:jc w:val="center"/>
              <w:rPr>
                <w:rFonts w:ascii="宋体"/>
                <w:szCs w:val="21"/>
              </w:rPr>
            </w:pPr>
          </w:p>
        </w:tc>
        <w:tc>
          <w:tcPr>
            <w:tcW w:w="430" w:type="pct"/>
            <w:vAlign w:val="center"/>
          </w:tcPr>
          <w:p w:rsidR="00056DB2" w:rsidRPr="006814B5" w:rsidRDefault="00056DB2" w:rsidP="00106C6A">
            <w:pPr>
              <w:jc w:val="center"/>
              <w:rPr>
                <w:rFonts w:ascii="宋体"/>
                <w:szCs w:val="21"/>
              </w:rPr>
            </w:pPr>
            <w:r w:rsidRPr="006814B5">
              <w:rPr>
                <w:rFonts w:ascii="宋体" w:hAnsi="宋体" w:hint="eastAsia"/>
                <w:szCs w:val="21"/>
              </w:rPr>
              <w:t>大提琴</w:t>
            </w:r>
          </w:p>
          <w:p w:rsidR="00056DB2" w:rsidRPr="006814B5" w:rsidRDefault="00056DB2" w:rsidP="00106C6A">
            <w:pPr>
              <w:jc w:val="center"/>
              <w:rPr>
                <w:rFonts w:ascii="宋体"/>
                <w:szCs w:val="21"/>
              </w:rPr>
            </w:pPr>
            <w:r w:rsidRPr="006814B5">
              <w:rPr>
                <w:rFonts w:ascii="宋体" w:hAnsi="宋体" w:hint="eastAsia"/>
                <w:szCs w:val="21"/>
              </w:rPr>
              <w:t>教学</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784"/>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9</w:t>
            </w:r>
          </w:p>
        </w:tc>
        <w:tc>
          <w:tcPr>
            <w:tcW w:w="604"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泰宁旅游</w:t>
            </w:r>
          </w:p>
          <w:p w:rsidR="00056DB2" w:rsidRPr="006814B5" w:rsidRDefault="00056DB2" w:rsidP="00106C6A">
            <w:pPr>
              <w:spacing w:line="320" w:lineRule="exact"/>
              <w:jc w:val="center"/>
              <w:rPr>
                <w:rFonts w:ascii="宋体"/>
                <w:szCs w:val="21"/>
              </w:rPr>
            </w:pPr>
            <w:r w:rsidRPr="006814B5">
              <w:rPr>
                <w:rFonts w:ascii="宋体" w:hAnsi="宋体" w:hint="eastAsia"/>
                <w:szCs w:val="21"/>
              </w:rPr>
              <w:t>管委会</w:t>
            </w:r>
          </w:p>
        </w:tc>
        <w:tc>
          <w:tcPr>
            <w:tcW w:w="599" w:type="pct"/>
            <w:vAlign w:val="center"/>
          </w:tcPr>
          <w:p w:rsidR="00056DB2" w:rsidRPr="006814B5" w:rsidRDefault="001D3CCE" w:rsidP="00106C6A">
            <w:pPr>
              <w:spacing w:line="320" w:lineRule="exact"/>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BA2410">
            <w:pPr>
              <w:spacing w:line="320" w:lineRule="exact"/>
              <w:rPr>
                <w:rFonts w:ascii="宋体"/>
                <w:szCs w:val="21"/>
              </w:rPr>
            </w:pPr>
            <w:r w:rsidRPr="006814B5">
              <w:rPr>
                <w:rFonts w:ascii="宋体" w:hAnsi="宋体" w:hint="eastAsia"/>
                <w:szCs w:val="21"/>
              </w:rPr>
              <w:t>泰宁旅游品牌形象策划；泰宁摄影写生基地宣传推广、建设提升。</w:t>
            </w:r>
          </w:p>
        </w:tc>
        <w:tc>
          <w:tcPr>
            <w:tcW w:w="675" w:type="pct"/>
            <w:vAlign w:val="center"/>
          </w:tcPr>
          <w:p w:rsidR="00056DB2" w:rsidRPr="006814B5" w:rsidRDefault="00056DB2" w:rsidP="00106C6A">
            <w:pPr>
              <w:spacing w:line="320" w:lineRule="exact"/>
              <w:jc w:val="center"/>
              <w:rPr>
                <w:rFonts w:ascii="宋体"/>
                <w:szCs w:val="21"/>
              </w:rPr>
            </w:pPr>
          </w:p>
        </w:tc>
        <w:tc>
          <w:tcPr>
            <w:tcW w:w="430"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艺术类</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980"/>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10</w:t>
            </w:r>
          </w:p>
        </w:tc>
        <w:tc>
          <w:tcPr>
            <w:tcW w:w="604"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泰宁县杉城镇</w:t>
            </w:r>
          </w:p>
        </w:tc>
        <w:tc>
          <w:tcPr>
            <w:tcW w:w="599" w:type="pct"/>
            <w:vAlign w:val="center"/>
          </w:tcPr>
          <w:p w:rsidR="00056DB2" w:rsidRPr="006814B5" w:rsidRDefault="001D3CCE" w:rsidP="00106C6A">
            <w:pPr>
              <w:spacing w:line="320" w:lineRule="exact"/>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BA2410">
            <w:pPr>
              <w:spacing w:line="320" w:lineRule="exact"/>
              <w:rPr>
                <w:rFonts w:ascii="宋体"/>
                <w:szCs w:val="21"/>
              </w:rPr>
            </w:pPr>
            <w:r w:rsidRPr="006814B5">
              <w:rPr>
                <w:rFonts w:ascii="宋体" w:hAnsi="宋体" w:hint="eastAsia"/>
                <w:szCs w:val="21"/>
              </w:rPr>
              <w:t>辅导全镇美丽乡村建设，推广“耕读李家”旅游专业村品牌，协助旅游招商引资，引入高品质业态，做活乡村旅游文章，结合县全域化写生基地建设辅助，组织高校写生生源前往泰宁写生。</w:t>
            </w:r>
          </w:p>
        </w:tc>
        <w:tc>
          <w:tcPr>
            <w:tcW w:w="675" w:type="pct"/>
            <w:vAlign w:val="center"/>
          </w:tcPr>
          <w:p w:rsidR="00056DB2" w:rsidRPr="006814B5" w:rsidRDefault="00056DB2" w:rsidP="00106C6A">
            <w:pPr>
              <w:spacing w:line="320" w:lineRule="exact"/>
              <w:jc w:val="center"/>
              <w:rPr>
                <w:rFonts w:ascii="宋体"/>
                <w:szCs w:val="21"/>
              </w:rPr>
            </w:pPr>
          </w:p>
        </w:tc>
        <w:tc>
          <w:tcPr>
            <w:tcW w:w="430"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旅游等相关专业</w:t>
            </w:r>
          </w:p>
        </w:tc>
        <w:tc>
          <w:tcPr>
            <w:tcW w:w="366" w:type="pct"/>
            <w:vAlign w:val="center"/>
          </w:tcPr>
          <w:p w:rsidR="00056DB2" w:rsidRPr="006814B5" w:rsidRDefault="00056DB2" w:rsidP="00106C6A">
            <w:pPr>
              <w:jc w:val="center"/>
              <w:rPr>
                <w:rFonts w:ascii="宋体"/>
                <w:szCs w:val="21"/>
              </w:rPr>
            </w:pPr>
          </w:p>
        </w:tc>
      </w:tr>
      <w:tr w:rsidR="00056DB2" w:rsidRPr="00840E6A" w:rsidTr="00106C6A">
        <w:trPr>
          <w:trHeight w:val="980"/>
        </w:trPr>
        <w:tc>
          <w:tcPr>
            <w:tcW w:w="181" w:type="pct"/>
            <w:vAlign w:val="center"/>
          </w:tcPr>
          <w:p w:rsidR="00056DB2" w:rsidRPr="006814B5" w:rsidRDefault="00056DB2" w:rsidP="002871B6">
            <w:pPr>
              <w:jc w:val="center"/>
              <w:rPr>
                <w:rFonts w:ascii="宋体"/>
                <w:szCs w:val="21"/>
              </w:rPr>
            </w:pPr>
            <w:r w:rsidRPr="006814B5">
              <w:rPr>
                <w:rFonts w:ascii="宋体" w:hAnsi="宋体"/>
                <w:szCs w:val="21"/>
              </w:rPr>
              <w:t>11</w:t>
            </w:r>
          </w:p>
        </w:tc>
        <w:tc>
          <w:tcPr>
            <w:tcW w:w="604"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泰宁县住房和城乡规划</w:t>
            </w:r>
          </w:p>
          <w:p w:rsidR="00056DB2" w:rsidRPr="006814B5" w:rsidRDefault="00056DB2" w:rsidP="00106C6A">
            <w:pPr>
              <w:spacing w:line="320" w:lineRule="exact"/>
              <w:jc w:val="center"/>
              <w:rPr>
                <w:rFonts w:ascii="宋体"/>
                <w:szCs w:val="21"/>
              </w:rPr>
            </w:pPr>
            <w:r w:rsidRPr="006814B5">
              <w:rPr>
                <w:rFonts w:ascii="宋体" w:hAnsi="宋体" w:hint="eastAsia"/>
                <w:szCs w:val="21"/>
              </w:rPr>
              <w:t>建设局</w:t>
            </w:r>
          </w:p>
        </w:tc>
        <w:tc>
          <w:tcPr>
            <w:tcW w:w="599" w:type="pct"/>
            <w:vAlign w:val="center"/>
          </w:tcPr>
          <w:p w:rsidR="00056DB2" w:rsidRPr="006814B5" w:rsidRDefault="001D3CCE" w:rsidP="00106C6A">
            <w:pPr>
              <w:spacing w:line="320" w:lineRule="exact"/>
              <w:jc w:val="center"/>
              <w:rPr>
                <w:rFonts w:ascii="宋体"/>
                <w:szCs w:val="21"/>
              </w:rPr>
            </w:pPr>
            <w:r w:rsidRPr="006814B5">
              <w:rPr>
                <w:rFonts w:ascii="宋体" w:hAnsi="宋体" w:hint="eastAsia"/>
                <w:szCs w:val="21"/>
              </w:rPr>
              <w:t>助理</w:t>
            </w:r>
          </w:p>
        </w:tc>
        <w:tc>
          <w:tcPr>
            <w:tcW w:w="2144" w:type="pct"/>
            <w:vAlign w:val="center"/>
          </w:tcPr>
          <w:p w:rsidR="00056DB2" w:rsidRPr="006814B5" w:rsidRDefault="00056DB2" w:rsidP="00BA2410">
            <w:pPr>
              <w:spacing w:line="320" w:lineRule="exact"/>
              <w:rPr>
                <w:rFonts w:ascii="宋体"/>
                <w:szCs w:val="21"/>
              </w:rPr>
            </w:pPr>
            <w:r w:rsidRPr="006814B5">
              <w:rPr>
                <w:rFonts w:ascii="宋体" w:hAnsi="宋体" w:hint="eastAsia"/>
                <w:szCs w:val="21"/>
              </w:rPr>
              <w:t>城乡规划设计，国家风景名胜区规划、建设、管理。</w:t>
            </w:r>
          </w:p>
        </w:tc>
        <w:tc>
          <w:tcPr>
            <w:tcW w:w="675" w:type="pct"/>
            <w:vAlign w:val="center"/>
          </w:tcPr>
          <w:p w:rsidR="00056DB2" w:rsidRPr="006814B5" w:rsidRDefault="00056DB2" w:rsidP="00106C6A">
            <w:pPr>
              <w:spacing w:line="320" w:lineRule="exact"/>
              <w:jc w:val="center"/>
              <w:rPr>
                <w:rFonts w:ascii="宋体"/>
                <w:szCs w:val="21"/>
              </w:rPr>
            </w:pPr>
          </w:p>
        </w:tc>
        <w:tc>
          <w:tcPr>
            <w:tcW w:w="430" w:type="pct"/>
            <w:vAlign w:val="center"/>
          </w:tcPr>
          <w:p w:rsidR="00056DB2" w:rsidRPr="006814B5" w:rsidRDefault="00056DB2" w:rsidP="00106C6A">
            <w:pPr>
              <w:spacing w:line="320" w:lineRule="exact"/>
              <w:jc w:val="center"/>
              <w:rPr>
                <w:rFonts w:ascii="宋体"/>
                <w:szCs w:val="21"/>
              </w:rPr>
            </w:pPr>
            <w:r w:rsidRPr="006814B5">
              <w:rPr>
                <w:rFonts w:ascii="宋体" w:hAnsi="宋体" w:hint="eastAsia"/>
                <w:szCs w:val="21"/>
              </w:rPr>
              <w:t>城乡规划</w:t>
            </w:r>
          </w:p>
        </w:tc>
        <w:tc>
          <w:tcPr>
            <w:tcW w:w="366" w:type="pct"/>
            <w:vAlign w:val="center"/>
          </w:tcPr>
          <w:p w:rsidR="00056DB2" w:rsidRPr="006814B5" w:rsidRDefault="00056DB2" w:rsidP="00106C6A">
            <w:pPr>
              <w:jc w:val="center"/>
              <w:rPr>
                <w:rFonts w:ascii="宋体"/>
                <w:szCs w:val="21"/>
              </w:rPr>
            </w:pPr>
          </w:p>
        </w:tc>
      </w:tr>
    </w:tbl>
    <w:p w:rsidR="00056DB2" w:rsidRPr="000E0E4D" w:rsidRDefault="00056DB2" w:rsidP="00232877">
      <w:pPr>
        <w:spacing w:line="320" w:lineRule="exact"/>
        <w:rPr>
          <w:rFonts w:ascii="宋体"/>
          <w:sz w:val="24"/>
        </w:rPr>
      </w:pPr>
    </w:p>
    <w:sectPr w:rsidR="00056DB2" w:rsidRPr="000E0E4D" w:rsidSect="004F7725">
      <w:pgSz w:w="16838" w:h="11906" w:orient="landscape"/>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D4" w:rsidRDefault="00931BD4" w:rsidP="00840E6A">
      <w:r>
        <w:separator/>
      </w:r>
    </w:p>
  </w:endnote>
  <w:endnote w:type="continuationSeparator" w:id="1">
    <w:p w:rsidR="00931BD4" w:rsidRDefault="00931BD4" w:rsidP="00840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D4" w:rsidRDefault="00931BD4" w:rsidP="00840E6A">
      <w:r>
        <w:separator/>
      </w:r>
    </w:p>
  </w:footnote>
  <w:footnote w:type="continuationSeparator" w:id="1">
    <w:p w:rsidR="00931BD4" w:rsidRDefault="00931BD4" w:rsidP="00840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CD9"/>
    <w:rsid w:val="000317D3"/>
    <w:rsid w:val="00056DB2"/>
    <w:rsid w:val="00061471"/>
    <w:rsid w:val="000E0E4D"/>
    <w:rsid w:val="000F391D"/>
    <w:rsid w:val="00106C6A"/>
    <w:rsid w:val="001664E1"/>
    <w:rsid w:val="001D3CCE"/>
    <w:rsid w:val="00232877"/>
    <w:rsid w:val="002522D3"/>
    <w:rsid w:val="002871B6"/>
    <w:rsid w:val="003109D5"/>
    <w:rsid w:val="003559A7"/>
    <w:rsid w:val="003E38D5"/>
    <w:rsid w:val="003E5544"/>
    <w:rsid w:val="004109EF"/>
    <w:rsid w:val="00453A3C"/>
    <w:rsid w:val="00466BB6"/>
    <w:rsid w:val="00481635"/>
    <w:rsid w:val="004B74A0"/>
    <w:rsid w:val="004F7725"/>
    <w:rsid w:val="00545051"/>
    <w:rsid w:val="006363C8"/>
    <w:rsid w:val="00652445"/>
    <w:rsid w:val="006814B5"/>
    <w:rsid w:val="006818AE"/>
    <w:rsid w:val="006B2AEF"/>
    <w:rsid w:val="007568B3"/>
    <w:rsid w:val="007A0DAD"/>
    <w:rsid w:val="007B41CA"/>
    <w:rsid w:val="007C0CD9"/>
    <w:rsid w:val="007E3F81"/>
    <w:rsid w:val="00812A13"/>
    <w:rsid w:val="00817040"/>
    <w:rsid w:val="00840E6A"/>
    <w:rsid w:val="0084741E"/>
    <w:rsid w:val="008B1956"/>
    <w:rsid w:val="008C0122"/>
    <w:rsid w:val="00917FE2"/>
    <w:rsid w:val="00931BD4"/>
    <w:rsid w:val="009B1A5B"/>
    <w:rsid w:val="009E3E42"/>
    <w:rsid w:val="009F1C12"/>
    <w:rsid w:val="00A227F0"/>
    <w:rsid w:val="00A52071"/>
    <w:rsid w:val="00AD4130"/>
    <w:rsid w:val="00B14C17"/>
    <w:rsid w:val="00B334DD"/>
    <w:rsid w:val="00B7321A"/>
    <w:rsid w:val="00BA2410"/>
    <w:rsid w:val="00BD4DE4"/>
    <w:rsid w:val="00BE7CC2"/>
    <w:rsid w:val="00BF6ED9"/>
    <w:rsid w:val="00C07B23"/>
    <w:rsid w:val="00C36692"/>
    <w:rsid w:val="00CD5EF9"/>
    <w:rsid w:val="00D52B95"/>
    <w:rsid w:val="00D81820"/>
    <w:rsid w:val="00E50E7A"/>
    <w:rsid w:val="00ED02D6"/>
    <w:rsid w:val="00EF7453"/>
    <w:rsid w:val="00FD6F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D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0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40E6A"/>
    <w:rPr>
      <w:rFonts w:ascii="Times New Roman" w:eastAsia="宋体" w:hAnsi="Times New Roman" w:cs="Times New Roman"/>
      <w:sz w:val="18"/>
      <w:szCs w:val="18"/>
    </w:rPr>
  </w:style>
  <w:style w:type="paragraph" w:styleId="a4">
    <w:name w:val="footer"/>
    <w:basedOn w:val="a"/>
    <w:link w:val="Char0"/>
    <w:uiPriority w:val="99"/>
    <w:rsid w:val="00840E6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40E6A"/>
    <w:rPr>
      <w:rFonts w:ascii="Times New Roman" w:eastAsia="宋体" w:hAnsi="Times New Roman" w:cs="Times New Roman"/>
      <w:sz w:val="18"/>
      <w:szCs w:val="18"/>
    </w:rPr>
  </w:style>
  <w:style w:type="paragraph" w:styleId="a5">
    <w:name w:val="Balloon Text"/>
    <w:basedOn w:val="a"/>
    <w:link w:val="Char1"/>
    <w:uiPriority w:val="99"/>
    <w:semiHidden/>
    <w:rsid w:val="003109D5"/>
    <w:rPr>
      <w:sz w:val="18"/>
      <w:szCs w:val="18"/>
    </w:rPr>
  </w:style>
  <w:style w:type="character" w:customStyle="1" w:styleId="Char1">
    <w:name w:val="批注框文本 Char"/>
    <w:basedOn w:val="a0"/>
    <w:link w:val="a5"/>
    <w:uiPriority w:val="99"/>
    <w:semiHidden/>
    <w:rsid w:val="00DE487A"/>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199</Words>
  <Characters>1137</Characters>
  <Application>Microsoft Office Word</Application>
  <DocSecurity>0</DocSecurity>
  <Lines>9</Lines>
  <Paragraphs>2</Paragraphs>
  <ScaleCrop>false</ScaleCrop>
  <Company>smkx</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姚东明(2012100129)</cp:lastModifiedBy>
  <cp:revision>26</cp:revision>
  <cp:lastPrinted>2016-06-24T08:16:00Z</cp:lastPrinted>
  <dcterms:created xsi:type="dcterms:W3CDTF">2016-04-15T09:06:00Z</dcterms:created>
  <dcterms:modified xsi:type="dcterms:W3CDTF">2016-07-05T08:52:00Z</dcterms:modified>
</cp:coreProperties>
</file>